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411C" w14:textId="77777777" w:rsidR="00BE30E1" w:rsidRDefault="001E5B43">
      <w:pPr>
        <w:spacing w:before="59"/>
        <w:ind w:left="6" w:right="21"/>
        <w:jc w:val="center"/>
        <w:rPr>
          <w:b/>
          <w:i/>
          <w:sz w:val="44"/>
        </w:rPr>
      </w:pPr>
      <w:r>
        <w:rPr>
          <w:b/>
          <w:i/>
          <w:sz w:val="44"/>
        </w:rPr>
        <w:t>Public</w:t>
      </w:r>
      <w:r>
        <w:rPr>
          <w:b/>
          <w:i/>
          <w:spacing w:val="-13"/>
          <w:sz w:val="44"/>
        </w:rPr>
        <w:t xml:space="preserve"> </w:t>
      </w:r>
      <w:r>
        <w:rPr>
          <w:b/>
          <w:i/>
          <w:sz w:val="44"/>
        </w:rPr>
        <w:t>Utility</w:t>
      </w:r>
      <w:r>
        <w:rPr>
          <w:b/>
          <w:i/>
          <w:spacing w:val="-12"/>
          <w:sz w:val="44"/>
        </w:rPr>
        <w:t xml:space="preserve"> </w:t>
      </w:r>
      <w:r>
        <w:rPr>
          <w:b/>
          <w:i/>
          <w:sz w:val="44"/>
        </w:rPr>
        <w:t>Commission</w:t>
      </w:r>
      <w:r>
        <w:rPr>
          <w:b/>
          <w:i/>
          <w:spacing w:val="-11"/>
          <w:sz w:val="44"/>
        </w:rPr>
        <w:t xml:space="preserve"> </w:t>
      </w:r>
      <w:r>
        <w:rPr>
          <w:b/>
          <w:i/>
          <w:sz w:val="44"/>
        </w:rPr>
        <w:t>of</w:t>
      </w:r>
      <w:r>
        <w:rPr>
          <w:b/>
          <w:i/>
          <w:spacing w:val="-12"/>
          <w:sz w:val="44"/>
        </w:rPr>
        <w:t xml:space="preserve"> </w:t>
      </w:r>
      <w:r>
        <w:rPr>
          <w:b/>
          <w:i/>
          <w:spacing w:val="-2"/>
          <w:sz w:val="44"/>
        </w:rPr>
        <w:t>Texas</w:t>
      </w:r>
    </w:p>
    <w:p w14:paraId="6948C495" w14:textId="77777777" w:rsidR="00BE30E1" w:rsidRDefault="001E5B43">
      <w:pPr>
        <w:pStyle w:val="BodyText"/>
        <w:spacing w:before="157"/>
        <w:jc w:val="left"/>
        <w:rPr>
          <w:b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155F5B3" wp14:editId="09BFBAFC">
                <wp:simplePos x="0" y="0"/>
                <wp:positionH relativeFrom="page">
                  <wp:posOffset>2135122</wp:posOffset>
                </wp:positionH>
                <wp:positionV relativeFrom="paragraph">
                  <wp:posOffset>261521</wp:posOffset>
                </wp:positionV>
                <wp:extent cx="338074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807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80740">
                              <a:moveTo>
                                <a:pt x="0" y="0"/>
                              </a:moveTo>
                              <a:lnTo>
                                <a:pt x="338023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18CA6" id="Graphic 2" o:spid="_x0000_s1026" style="position:absolute;margin-left:168.1pt;margin-top:20.6pt;width:266.2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807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" path="m,l3380232,e" filled="f" strokeweight=".71pt">
                <v:path arrowok="t"/>
                <w10:wrap type="topAndBottom" anchorx="page"/>
              </v:shape>
            </w:pict>
          </mc:Fallback>
        </mc:AlternateContent>
      </w:r>
    </w:p>
    <w:p w14:paraId="27AA7A2C" w14:textId="77777777" w:rsidR="00BE30E1" w:rsidRDefault="001E5B43">
      <w:pPr>
        <w:pStyle w:val="Title"/>
      </w:pPr>
      <w:r>
        <w:rPr>
          <w:spacing w:val="-2"/>
        </w:rPr>
        <w:t>Memorandum</w:t>
      </w:r>
    </w:p>
    <w:p w14:paraId="521DAEFE" w14:textId="77777777" w:rsidR="00BE30E1" w:rsidRDefault="001E5B43">
      <w:pPr>
        <w:pStyle w:val="BodyText"/>
        <w:tabs>
          <w:tab w:val="left" w:pos="1270"/>
        </w:tabs>
        <w:spacing w:before="468" w:line="583" w:lineRule="auto"/>
        <w:ind w:left="100" w:right="4458"/>
        <w:jc w:val="left"/>
      </w:pPr>
      <w:r>
        <w:rPr>
          <w:b/>
          <w:spacing w:val="-4"/>
        </w:rPr>
        <w:t>TO:</w:t>
      </w:r>
      <w:r>
        <w:rPr>
          <w:b/>
        </w:rPr>
        <w:tab/>
      </w:r>
      <w:r>
        <w:t xml:space="preserve">Floyd Walker, Market Analysis </w:t>
      </w:r>
      <w:r>
        <w:rPr>
          <w:b/>
          <w:spacing w:val="-2"/>
        </w:rPr>
        <w:t>FROM:</w:t>
      </w:r>
      <w:r>
        <w:rPr>
          <w:b/>
        </w:rPr>
        <w:tab/>
      </w:r>
      <w:r>
        <w:t>Ramya</w:t>
      </w:r>
      <w:r>
        <w:rPr>
          <w:spacing w:val="-14"/>
        </w:rPr>
        <w:t xml:space="preserve"> </w:t>
      </w:r>
      <w:r>
        <w:t>Ramaswamy,</w:t>
      </w:r>
      <w:r>
        <w:rPr>
          <w:spacing w:val="-14"/>
        </w:rPr>
        <w:t xml:space="preserve"> </w:t>
      </w:r>
      <w:r>
        <w:t>Energy</w:t>
      </w:r>
      <w:r>
        <w:rPr>
          <w:spacing w:val="-14"/>
        </w:rPr>
        <w:t xml:space="preserve"> </w:t>
      </w:r>
      <w:r>
        <w:t xml:space="preserve">Efficiency </w:t>
      </w:r>
      <w:r>
        <w:rPr>
          <w:b/>
          <w:spacing w:val="-2"/>
        </w:rPr>
        <w:t>DATE:</w:t>
      </w:r>
      <w:r>
        <w:rPr>
          <w:b/>
        </w:rPr>
        <w:tab/>
      </w:r>
      <w:r>
        <w:t>October 3, 2024</w:t>
      </w:r>
    </w:p>
    <w:p w14:paraId="57CF2B47" w14:textId="003423CB" w:rsidR="00BE30E1" w:rsidRDefault="001E5B43">
      <w:pPr>
        <w:tabs>
          <w:tab w:val="left" w:pos="1270"/>
        </w:tabs>
        <w:spacing w:before="125"/>
        <w:ind w:left="1271" w:right="116" w:hanging="1171"/>
        <w:rPr>
          <w:i/>
          <w:sz w:val="24"/>
        </w:rPr>
      </w:pPr>
      <w:r>
        <w:rPr>
          <w:b/>
          <w:spacing w:val="-4"/>
          <w:sz w:val="24"/>
        </w:rPr>
        <w:t>RE:</w:t>
      </w:r>
      <w:r>
        <w:rPr>
          <w:b/>
          <w:sz w:val="24"/>
        </w:rPr>
        <w:tab/>
      </w:r>
      <w:r>
        <w:rPr>
          <w:sz w:val="24"/>
        </w:rPr>
        <w:t xml:space="preserve">Docket No. </w:t>
      </w:r>
      <w:r w:rsidR="000B7E09">
        <w:rPr>
          <w:color w:val="000000"/>
          <w:sz w:val="24"/>
        </w:rPr>
        <w:t xml:space="preserve">57172 </w:t>
      </w:r>
      <w:r>
        <w:rPr>
          <w:color w:val="000000"/>
          <w:sz w:val="24"/>
        </w:rPr>
        <w:t xml:space="preserve">– </w:t>
      </w:r>
      <w:r>
        <w:rPr>
          <w:i/>
          <w:color w:val="000000"/>
          <w:sz w:val="24"/>
        </w:rPr>
        <w:t xml:space="preserve">Commission Staff's Petition </w:t>
      </w:r>
      <w:r w:rsidR="00C76F1D">
        <w:rPr>
          <w:i/>
          <w:color w:val="000000"/>
          <w:sz w:val="24"/>
        </w:rPr>
        <w:t>to Establish a Secondary Cap on Performance Bonuses under 16 TAC § 25.182(e) for the 2024 Program Year</w:t>
      </w:r>
    </w:p>
    <w:p w14:paraId="41BC16F0" w14:textId="77777777" w:rsidR="00BE30E1" w:rsidRDefault="001E5B43">
      <w:pPr>
        <w:pStyle w:val="BodyText"/>
        <w:spacing w:before="113"/>
        <w:jc w:val="left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B74F8D7" wp14:editId="717B18C9">
                <wp:simplePos x="0" y="0"/>
                <wp:positionH relativeFrom="page">
                  <wp:posOffset>914400</wp:posOffset>
                </wp:positionH>
                <wp:positionV relativeFrom="paragraph">
                  <wp:posOffset>233653</wp:posOffset>
                </wp:positionV>
                <wp:extent cx="594106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1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1060">
                              <a:moveTo>
                                <a:pt x="0" y="0"/>
                              </a:moveTo>
                              <a:lnTo>
                                <a:pt x="5940611" y="0"/>
                              </a:lnTo>
                            </a:path>
                          </a:pathLst>
                        </a:custGeom>
                        <a:ln w="56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CDBE2" id="Graphic 3" o:spid="_x0000_s1026" style="position:absolute;margin-left:1in;margin-top:18.4pt;width:467.8pt;height:.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1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" path="m,l5940611,e" filled="f" strokeweight=".15564mm">
                <v:path arrowok="t"/>
                <w10:wrap type="topAndBottom" anchorx="page"/>
              </v:shape>
            </w:pict>
          </mc:Fallback>
        </mc:AlternateContent>
      </w:r>
    </w:p>
    <w:p w14:paraId="67C8CE5A" w14:textId="77777777" w:rsidR="00BE30E1" w:rsidRDefault="00BE30E1">
      <w:pPr>
        <w:pStyle w:val="BodyText"/>
        <w:spacing w:before="138"/>
        <w:jc w:val="left"/>
        <w:rPr>
          <w:i/>
        </w:rPr>
      </w:pPr>
    </w:p>
    <w:p w14:paraId="1DA13262" w14:textId="77777777" w:rsidR="00BE30E1" w:rsidRDefault="001E5B43">
      <w:pPr>
        <w:pStyle w:val="Heading1"/>
        <w:rPr>
          <w:u w:val="none"/>
        </w:rPr>
      </w:pPr>
      <w:r>
        <w:rPr>
          <w:spacing w:val="-2"/>
        </w:rPr>
        <w:t>Background</w:t>
      </w:r>
    </w:p>
    <w:p w14:paraId="4C168B5B" w14:textId="1F55B4F4" w:rsidR="00BE30E1" w:rsidRDefault="001D644E">
      <w:pPr>
        <w:pStyle w:val="BodyText"/>
        <w:spacing w:before="139" w:line="360" w:lineRule="auto"/>
        <w:ind w:left="100" w:right="115"/>
      </w:pPr>
      <w:r>
        <w:t xml:space="preserve">The </w:t>
      </w:r>
      <w:r w:rsidR="001E5B43">
        <w:t>Electric</w:t>
      </w:r>
      <w:r w:rsidR="001E5B43">
        <w:rPr>
          <w:spacing w:val="-12"/>
        </w:rPr>
        <w:t xml:space="preserve"> </w:t>
      </w:r>
      <w:r w:rsidR="001E5B43">
        <w:t>Reliability</w:t>
      </w:r>
      <w:r w:rsidR="001E5B43">
        <w:rPr>
          <w:spacing w:val="-11"/>
        </w:rPr>
        <w:t xml:space="preserve"> </w:t>
      </w:r>
      <w:r w:rsidR="001E5B43">
        <w:t>Council</w:t>
      </w:r>
      <w:r w:rsidR="001E5B43">
        <w:rPr>
          <w:spacing w:val="-10"/>
        </w:rPr>
        <w:t xml:space="preserve"> </w:t>
      </w:r>
      <w:r w:rsidR="001E5B43">
        <w:t>of</w:t>
      </w:r>
      <w:r w:rsidR="001E5B43">
        <w:rPr>
          <w:spacing w:val="-12"/>
        </w:rPr>
        <w:t xml:space="preserve"> </w:t>
      </w:r>
      <w:r w:rsidR="001E5B43">
        <w:t>Texas</w:t>
      </w:r>
      <w:r w:rsidR="001E5B43">
        <w:rPr>
          <w:spacing w:val="-10"/>
        </w:rPr>
        <w:t xml:space="preserve"> </w:t>
      </w:r>
      <w:r w:rsidR="001E5B43">
        <w:t>(ERCOT)</w:t>
      </w:r>
      <w:r w:rsidR="001E5B43">
        <w:rPr>
          <w:spacing w:val="-9"/>
        </w:rPr>
        <w:t xml:space="preserve"> </w:t>
      </w:r>
      <w:r w:rsidR="001E5B43">
        <w:t>market</w:t>
      </w:r>
      <w:r w:rsidR="001E5B43">
        <w:rPr>
          <w:spacing w:val="-8"/>
        </w:rPr>
        <w:t xml:space="preserve"> </w:t>
      </w:r>
      <w:r w:rsidR="001E5B43">
        <w:t>confronted</w:t>
      </w:r>
      <w:r w:rsidR="001E5B43">
        <w:rPr>
          <w:spacing w:val="-8"/>
        </w:rPr>
        <w:t xml:space="preserve"> </w:t>
      </w:r>
      <w:r w:rsidR="001E5B43">
        <w:t>unique</w:t>
      </w:r>
      <w:r w:rsidR="001E5B43">
        <w:rPr>
          <w:spacing w:val="-9"/>
        </w:rPr>
        <w:t xml:space="preserve"> </w:t>
      </w:r>
      <w:r w:rsidR="001E5B43">
        <w:t>challenges</w:t>
      </w:r>
      <w:r w:rsidR="001E5B43">
        <w:rPr>
          <w:spacing w:val="-10"/>
        </w:rPr>
        <w:t xml:space="preserve"> </w:t>
      </w:r>
      <w:r w:rsidR="001E5B43">
        <w:t>and</w:t>
      </w:r>
      <w:r w:rsidR="001E5B43">
        <w:rPr>
          <w:spacing w:val="-8"/>
        </w:rPr>
        <w:t xml:space="preserve"> </w:t>
      </w:r>
      <w:r w:rsidR="001E5B43">
        <w:t>issues</w:t>
      </w:r>
      <w:r w:rsidR="001E5B43">
        <w:rPr>
          <w:spacing w:val="-10"/>
        </w:rPr>
        <w:t xml:space="preserve"> </w:t>
      </w:r>
      <w:r w:rsidR="001E5B43">
        <w:t>in 2023, including unprecedented load growth during record-breaking summer temperatures. Hot summer temperatures caused ERCOT to set new demand records 49 times, the highest of which was 85.7 gigawatts, 3.4% higher than 2022 peak demand and high energy prices.</w:t>
      </w:r>
    </w:p>
    <w:p w14:paraId="17ECECEA" w14:textId="77777777" w:rsidR="00BE30E1" w:rsidRDefault="00BE30E1">
      <w:pPr>
        <w:pStyle w:val="BodyText"/>
        <w:jc w:val="left"/>
      </w:pPr>
    </w:p>
    <w:p w14:paraId="77499217" w14:textId="388965A5" w:rsidR="00BE30E1" w:rsidRDefault="001E5B43">
      <w:pPr>
        <w:pStyle w:val="BodyText"/>
        <w:spacing w:before="1" w:line="360" w:lineRule="auto"/>
        <w:ind w:left="100" w:right="117"/>
      </w:pPr>
      <w:r>
        <w:t>Under 16 Texas Administrative Code (TAC) §</w:t>
      </w:r>
      <w:r w:rsidR="003279F4">
        <w:t> </w:t>
      </w:r>
      <w:r>
        <w:t>25.181(d)(3)(A), ERCOT must calculate the avoided</w:t>
      </w:r>
      <w:r>
        <w:rPr>
          <w:spacing w:val="-2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energy for</w:t>
      </w:r>
      <w:r>
        <w:rPr>
          <w:spacing w:val="-2"/>
        </w:rPr>
        <w:t xml:space="preserve"> </w:t>
      </w:r>
      <w:r>
        <w:t>energy efficiency</w:t>
      </w:r>
      <w:r>
        <w:rPr>
          <w:spacing w:val="-2"/>
        </w:rPr>
        <w:t xml:space="preserve"> </w:t>
      </w:r>
      <w:r>
        <w:t>programs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determining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load-weighted average 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competitive</w:t>
      </w:r>
      <w:r>
        <w:rPr>
          <w:spacing w:val="-6"/>
        </w:rPr>
        <w:t xml:space="preserve"> </w:t>
      </w:r>
      <w:r>
        <w:t>load</w:t>
      </w:r>
      <w:r>
        <w:rPr>
          <w:spacing w:val="-2"/>
        </w:rPr>
        <w:t xml:space="preserve"> </w:t>
      </w:r>
      <w:r>
        <w:t>zone</w:t>
      </w:r>
      <w:r>
        <w:rPr>
          <w:spacing w:val="-6"/>
        </w:rPr>
        <w:t xml:space="preserve"> </w:t>
      </w:r>
      <w:r>
        <w:t>settlement</w:t>
      </w:r>
      <w:r>
        <w:rPr>
          <w:spacing w:val="-4"/>
        </w:rPr>
        <w:t xml:space="preserve"> </w:t>
      </w:r>
      <w:r>
        <w:t>point</w:t>
      </w:r>
      <w:r>
        <w:rPr>
          <w:spacing w:val="-5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previous</w:t>
      </w:r>
      <w:r>
        <w:rPr>
          <w:spacing w:val="-2"/>
        </w:rPr>
        <w:t xml:space="preserve"> </w:t>
      </w:r>
      <w:r>
        <w:t>winter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summer</w:t>
      </w:r>
      <w:r>
        <w:rPr>
          <w:spacing w:val="-6"/>
        </w:rPr>
        <w:t xml:space="preserve"> </w:t>
      </w:r>
      <w:r>
        <w:t>peak periods. Hence, avoided cost of energy calculations for program year (PY) 2024 will include the price of energy for the summer of 2023.</w:t>
      </w:r>
      <w:r w:rsidR="007212E0">
        <w:t xml:space="preserve"> </w:t>
      </w:r>
      <w:r w:rsidR="001C0C45">
        <w:t xml:space="preserve">Electric utilities governed by </w:t>
      </w:r>
      <w:r w:rsidR="009F49A7">
        <w:t xml:space="preserve">16 TAC 25.181 utilize </w:t>
      </w:r>
      <w:r w:rsidR="0095500F">
        <w:t>the av</w:t>
      </w:r>
      <w:r w:rsidR="001E5D91">
        <w:t xml:space="preserve">oided cost calculated by ERCOT to calculate their </w:t>
      </w:r>
      <w:r w:rsidR="00367E7B">
        <w:t xml:space="preserve">performance bonus </w:t>
      </w:r>
      <w:r w:rsidR="004832AE">
        <w:t>for each program year.</w:t>
      </w:r>
    </w:p>
    <w:p w14:paraId="5C766853" w14:textId="77777777" w:rsidR="00BE30E1" w:rsidRDefault="00BE30E1">
      <w:pPr>
        <w:pStyle w:val="BodyText"/>
        <w:jc w:val="left"/>
      </w:pPr>
    </w:p>
    <w:p w14:paraId="458D2E9D" w14:textId="5C841CFB" w:rsidR="00BE30E1" w:rsidRDefault="007D5290">
      <w:pPr>
        <w:pStyle w:val="Heading1"/>
        <w:spacing w:before="1"/>
        <w:jc w:val="both"/>
        <w:rPr>
          <w:u w:val="none"/>
        </w:rPr>
      </w:pPr>
      <w:r>
        <w:t>Secondary Cap</w:t>
      </w:r>
      <w:r w:rsidR="001E5B43">
        <w:rPr>
          <w:spacing w:val="-2"/>
        </w:rPr>
        <w:t>:</w:t>
      </w:r>
    </w:p>
    <w:p w14:paraId="54421D8B" w14:textId="2E9155B7" w:rsidR="00BE30E1" w:rsidRDefault="007D5290">
      <w:pPr>
        <w:pStyle w:val="BodyText"/>
        <w:spacing w:line="360" w:lineRule="auto"/>
        <w:ind w:left="100" w:right="117"/>
      </w:pPr>
      <w:r>
        <w:t>I</w:t>
      </w:r>
      <w:r>
        <w:t xml:space="preserve"> </w:t>
      </w:r>
      <w:r w:rsidR="001E5B43">
        <w:t xml:space="preserve">propose a secondary cap to calculate the performance bonus </w:t>
      </w:r>
      <w:r w:rsidR="00C10466">
        <w:t>for</w:t>
      </w:r>
      <w:r w:rsidR="001E5B43">
        <w:t xml:space="preserve"> </w:t>
      </w:r>
      <w:r w:rsidR="001D254B">
        <w:t>electric utilit</w:t>
      </w:r>
      <w:r w:rsidR="00076E9A">
        <w:t>ies</w:t>
      </w:r>
      <w:r w:rsidR="001E5B43">
        <w:t xml:space="preserve"> for PY2024 as follows.</w:t>
      </w:r>
    </w:p>
    <w:p w14:paraId="08BE9CE3" w14:textId="61D0C061" w:rsidR="00BE2EA8" w:rsidRPr="0058407E" w:rsidRDefault="001E5B43" w:rsidP="00C10466">
      <w:pPr>
        <w:pStyle w:val="ListParagraph"/>
        <w:keepNext/>
        <w:widowControl/>
        <w:numPr>
          <w:ilvl w:val="0"/>
          <w:numId w:val="1"/>
        </w:numPr>
        <w:tabs>
          <w:tab w:val="left" w:pos="820"/>
        </w:tabs>
        <w:spacing w:before="139" w:line="360" w:lineRule="auto"/>
        <w:ind w:left="821" w:right="115"/>
        <w:rPr>
          <w:sz w:val="24"/>
        </w:rPr>
      </w:pPr>
      <w:r w:rsidRPr="00BE2EA8">
        <w:rPr>
          <w:sz w:val="24"/>
        </w:rPr>
        <w:t>Using</w:t>
      </w:r>
      <w:r w:rsidRPr="0058407E">
        <w:rPr>
          <w:sz w:val="24"/>
        </w:rPr>
        <w:t xml:space="preserve"> </w:t>
      </w:r>
      <w:r w:rsidR="00CC6CE4" w:rsidRPr="0058407E">
        <w:rPr>
          <w:sz w:val="24"/>
        </w:rPr>
        <w:t xml:space="preserve">16 </w:t>
      </w:r>
      <w:r w:rsidRPr="00BE2EA8">
        <w:rPr>
          <w:sz w:val="24"/>
        </w:rPr>
        <w:t>TAC</w:t>
      </w:r>
      <w:r w:rsidR="00CC6CE4">
        <w:rPr>
          <w:sz w:val="24"/>
        </w:rPr>
        <w:t xml:space="preserve"> </w:t>
      </w:r>
      <w:r w:rsidRPr="00BE2EA8">
        <w:rPr>
          <w:sz w:val="24"/>
        </w:rPr>
        <w:t>§</w:t>
      </w:r>
      <w:r w:rsidR="00CC6CE4">
        <w:rPr>
          <w:sz w:val="24"/>
        </w:rPr>
        <w:t> </w:t>
      </w:r>
      <w:r w:rsidRPr="00BE2EA8">
        <w:rPr>
          <w:sz w:val="24"/>
        </w:rPr>
        <w:t>25.181</w:t>
      </w:r>
      <w:r w:rsidRPr="0058407E">
        <w:rPr>
          <w:sz w:val="24"/>
        </w:rPr>
        <w:t xml:space="preserve"> </w:t>
      </w:r>
      <w:r w:rsidRPr="00BE2EA8">
        <w:rPr>
          <w:sz w:val="24"/>
        </w:rPr>
        <w:t>and</w:t>
      </w:r>
      <w:r w:rsidRPr="0058407E">
        <w:rPr>
          <w:sz w:val="24"/>
        </w:rPr>
        <w:t xml:space="preserve"> </w:t>
      </w:r>
      <w:r w:rsidRPr="00BE2EA8">
        <w:rPr>
          <w:sz w:val="24"/>
        </w:rPr>
        <w:t>§</w:t>
      </w:r>
      <w:r w:rsidR="00CC6CE4">
        <w:rPr>
          <w:sz w:val="24"/>
        </w:rPr>
        <w:t> </w:t>
      </w:r>
      <w:r w:rsidRPr="00BE2EA8">
        <w:rPr>
          <w:sz w:val="24"/>
        </w:rPr>
        <w:t>25.182</w:t>
      </w:r>
      <w:r w:rsidR="0058407E">
        <w:rPr>
          <w:sz w:val="24"/>
        </w:rPr>
        <w:t>,</w:t>
      </w:r>
      <w:r w:rsidRPr="0058407E">
        <w:rPr>
          <w:sz w:val="24"/>
        </w:rPr>
        <w:t xml:space="preserve"> </w:t>
      </w:r>
      <w:r w:rsidRPr="00BE2EA8">
        <w:rPr>
          <w:sz w:val="24"/>
        </w:rPr>
        <w:t>calculate</w:t>
      </w:r>
      <w:r w:rsidRPr="0058407E">
        <w:rPr>
          <w:sz w:val="24"/>
        </w:rPr>
        <w:t xml:space="preserve"> </w:t>
      </w:r>
      <w:r w:rsidRPr="00BE2EA8">
        <w:rPr>
          <w:sz w:val="24"/>
        </w:rPr>
        <w:t>utility</w:t>
      </w:r>
      <w:r w:rsidRPr="0058407E">
        <w:rPr>
          <w:sz w:val="24"/>
        </w:rPr>
        <w:t xml:space="preserve"> </w:t>
      </w:r>
      <w:r w:rsidRPr="00BE2EA8">
        <w:rPr>
          <w:sz w:val="24"/>
        </w:rPr>
        <w:t>overall</w:t>
      </w:r>
      <w:r w:rsidRPr="0058407E">
        <w:rPr>
          <w:sz w:val="24"/>
        </w:rPr>
        <w:t xml:space="preserve"> </w:t>
      </w:r>
      <w:r w:rsidRPr="00BE2EA8">
        <w:rPr>
          <w:sz w:val="24"/>
        </w:rPr>
        <w:t>spending</w:t>
      </w:r>
      <w:r w:rsidRPr="0058407E">
        <w:rPr>
          <w:sz w:val="24"/>
        </w:rPr>
        <w:t xml:space="preserve"> </w:t>
      </w:r>
      <w:r w:rsidRPr="00BE2EA8">
        <w:rPr>
          <w:sz w:val="24"/>
        </w:rPr>
        <w:t>as</w:t>
      </w:r>
      <w:r w:rsidRPr="0058407E">
        <w:rPr>
          <w:sz w:val="24"/>
        </w:rPr>
        <w:t xml:space="preserve"> </w:t>
      </w:r>
      <w:r w:rsidRPr="00BE2EA8">
        <w:rPr>
          <w:sz w:val="24"/>
        </w:rPr>
        <w:t>the</w:t>
      </w:r>
      <w:r w:rsidRPr="0058407E">
        <w:rPr>
          <w:sz w:val="24"/>
        </w:rPr>
        <w:t xml:space="preserve"> </w:t>
      </w:r>
      <w:r w:rsidRPr="00BE2EA8">
        <w:rPr>
          <w:sz w:val="24"/>
        </w:rPr>
        <w:t>sum</w:t>
      </w:r>
      <w:r w:rsidRPr="0058407E">
        <w:rPr>
          <w:sz w:val="24"/>
        </w:rPr>
        <w:t xml:space="preserve"> of</w:t>
      </w:r>
      <w:r w:rsidR="00BE2EA8" w:rsidRPr="0058407E">
        <w:rPr>
          <w:sz w:val="24"/>
        </w:rPr>
        <w:t>:</w:t>
      </w:r>
    </w:p>
    <w:p w14:paraId="1D7E9006" w14:textId="1F2926B4" w:rsidR="00BE30E1" w:rsidRPr="00BE2EA8" w:rsidRDefault="001E5B43" w:rsidP="00BE2EA8">
      <w:pPr>
        <w:pStyle w:val="ListParagraph"/>
        <w:numPr>
          <w:ilvl w:val="1"/>
          <w:numId w:val="1"/>
        </w:numPr>
        <w:tabs>
          <w:tab w:val="left" w:pos="819"/>
        </w:tabs>
        <w:spacing w:before="79"/>
        <w:ind w:left="1539" w:hanging="359"/>
        <w:rPr>
          <w:sz w:val="24"/>
        </w:rPr>
      </w:pPr>
      <w:r w:rsidRPr="00BE2EA8">
        <w:rPr>
          <w:sz w:val="24"/>
        </w:rPr>
        <w:t>Actual</w:t>
      </w:r>
      <w:r w:rsidRPr="00BE2EA8">
        <w:rPr>
          <w:spacing w:val="-2"/>
          <w:sz w:val="24"/>
        </w:rPr>
        <w:t xml:space="preserve"> </w:t>
      </w:r>
      <w:proofErr w:type="gramStart"/>
      <w:r w:rsidRPr="00BE2EA8">
        <w:rPr>
          <w:sz w:val="24"/>
        </w:rPr>
        <w:t>program</w:t>
      </w:r>
      <w:proofErr w:type="gramEnd"/>
      <w:r w:rsidRPr="00BE2EA8">
        <w:rPr>
          <w:spacing w:val="-2"/>
          <w:sz w:val="24"/>
        </w:rPr>
        <w:t xml:space="preserve"> </w:t>
      </w:r>
      <w:r w:rsidRPr="00BE2EA8">
        <w:rPr>
          <w:sz w:val="24"/>
        </w:rPr>
        <w:t>spend</w:t>
      </w:r>
      <w:r w:rsidRPr="00BE2EA8">
        <w:rPr>
          <w:spacing w:val="-1"/>
          <w:sz w:val="24"/>
        </w:rPr>
        <w:t xml:space="preserve"> </w:t>
      </w:r>
      <w:r w:rsidRPr="00BE2EA8">
        <w:rPr>
          <w:sz w:val="24"/>
        </w:rPr>
        <w:t>for</w:t>
      </w:r>
      <w:r w:rsidRPr="00BE2EA8">
        <w:rPr>
          <w:spacing w:val="-2"/>
          <w:sz w:val="24"/>
        </w:rPr>
        <w:t xml:space="preserve"> PY2024,</w:t>
      </w:r>
    </w:p>
    <w:p w14:paraId="1B67FB6A" w14:textId="40684C4B" w:rsidR="00BE30E1" w:rsidRDefault="001E5B43">
      <w:pPr>
        <w:pStyle w:val="ListParagraph"/>
        <w:numPr>
          <w:ilvl w:val="1"/>
          <w:numId w:val="1"/>
        </w:numPr>
        <w:tabs>
          <w:tab w:val="left" w:pos="1540"/>
        </w:tabs>
        <w:rPr>
          <w:sz w:val="24"/>
        </w:rPr>
      </w:pPr>
      <w:r>
        <w:rPr>
          <w:sz w:val="24"/>
        </w:rPr>
        <w:lastRenderedPageBreak/>
        <w:t>Evaluation,</w:t>
      </w:r>
      <w:r>
        <w:rPr>
          <w:spacing w:val="-5"/>
          <w:sz w:val="24"/>
        </w:rPr>
        <w:t xml:space="preserve"> </w:t>
      </w:r>
      <w:r>
        <w:rPr>
          <w:sz w:val="24"/>
        </w:rPr>
        <w:t>measurement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verification</w:t>
      </w:r>
      <w:r>
        <w:rPr>
          <w:spacing w:val="-4"/>
          <w:sz w:val="24"/>
        </w:rPr>
        <w:t xml:space="preserve"> </w:t>
      </w:r>
      <w:r>
        <w:rPr>
          <w:sz w:val="24"/>
        </w:rPr>
        <w:t>cost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PY2024;</w:t>
      </w:r>
      <w:proofErr w:type="gramEnd"/>
    </w:p>
    <w:p w14:paraId="7F24E50D" w14:textId="5674095E" w:rsidR="00BE30E1" w:rsidRDefault="001E5B43">
      <w:pPr>
        <w:pStyle w:val="ListParagraph"/>
        <w:numPr>
          <w:ilvl w:val="1"/>
          <w:numId w:val="1"/>
        </w:numPr>
        <w:tabs>
          <w:tab w:val="left" w:pos="1539"/>
        </w:tabs>
        <w:spacing w:before="139"/>
        <w:ind w:left="1539" w:hanging="359"/>
        <w:rPr>
          <w:sz w:val="24"/>
        </w:rPr>
      </w:pPr>
      <w:r>
        <w:rPr>
          <w:sz w:val="24"/>
        </w:rPr>
        <w:t>Performance</w:t>
      </w:r>
      <w:r>
        <w:rPr>
          <w:spacing w:val="-4"/>
          <w:sz w:val="24"/>
        </w:rPr>
        <w:t xml:space="preserve"> </w:t>
      </w:r>
      <w:r>
        <w:rPr>
          <w:sz w:val="24"/>
        </w:rPr>
        <w:t>bonus</w:t>
      </w:r>
      <w:r>
        <w:rPr>
          <w:spacing w:val="-1"/>
          <w:sz w:val="24"/>
        </w:rPr>
        <w:t xml:space="preserve"> </w:t>
      </w:r>
      <w:r>
        <w:rPr>
          <w:sz w:val="24"/>
        </w:rPr>
        <w:t>earned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PY2024;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and</w:t>
      </w:r>
    </w:p>
    <w:p w14:paraId="457411DE" w14:textId="77777777" w:rsidR="00BE30E1" w:rsidRDefault="001E5B43">
      <w:pPr>
        <w:pStyle w:val="ListParagraph"/>
        <w:numPr>
          <w:ilvl w:val="1"/>
          <w:numId w:val="1"/>
        </w:numPr>
        <w:tabs>
          <w:tab w:val="left" w:pos="1540"/>
        </w:tabs>
        <w:rPr>
          <w:sz w:val="24"/>
        </w:rPr>
      </w:pPr>
      <w:r>
        <w:rPr>
          <w:sz w:val="24"/>
        </w:rPr>
        <w:t>Rate</w:t>
      </w:r>
      <w:r>
        <w:rPr>
          <w:spacing w:val="-2"/>
          <w:sz w:val="24"/>
        </w:rPr>
        <w:t xml:space="preserve"> </w:t>
      </w:r>
      <w:r>
        <w:rPr>
          <w:sz w:val="24"/>
        </w:rPr>
        <w:t>case costs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applicable.</w:t>
      </w:r>
    </w:p>
    <w:p w14:paraId="10DE4C17" w14:textId="77777777" w:rsidR="00BE30E1" w:rsidRDefault="001E5B43">
      <w:pPr>
        <w:pStyle w:val="ListParagraph"/>
        <w:numPr>
          <w:ilvl w:val="0"/>
          <w:numId w:val="1"/>
        </w:numPr>
        <w:tabs>
          <w:tab w:val="left" w:pos="820"/>
        </w:tabs>
        <w:spacing w:before="139" w:line="360" w:lineRule="auto"/>
        <w:ind w:right="119"/>
        <w:rPr>
          <w:sz w:val="24"/>
        </w:rPr>
      </w:pPr>
      <w:r>
        <w:rPr>
          <w:sz w:val="24"/>
        </w:rPr>
        <w:t>Once</w:t>
      </w:r>
      <w:r>
        <w:rPr>
          <w:spacing w:val="-14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14"/>
          <w:sz w:val="24"/>
        </w:rPr>
        <w:t xml:space="preserve"> </w:t>
      </w:r>
      <w:r>
        <w:rPr>
          <w:sz w:val="24"/>
        </w:rPr>
        <w:t>bonus</w:t>
      </w:r>
      <w:r>
        <w:rPr>
          <w:spacing w:val="-11"/>
          <w:sz w:val="24"/>
        </w:rPr>
        <w:t xml:space="preserve"> </w:t>
      </w:r>
      <w:r>
        <w:rPr>
          <w:sz w:val="24"/>
        </w:rPr>
        <w:t>is</w:t>
      </w:r>
      <w:r>
        <w:rPr>
          <w:spacing w:val="-12"/>
          <w:sz w:val="24"/>
        </w:rPr>
        <w:t xml:space="preserve"> </w:t>
      </w:r>
      <w:r>
        <w:rPr>
          <w:sz w:val="24"/>
        </w:rPr>
        <w:t>calculated</w:t>
      </w:r>
      <w:r>
        <w:rPr>
          <w:spacing w:val="-13"/>
          <w:sz w:val="24"/>
        </w:rPr>
        <w:t xml:space="preserve"> </w:t>
      </w:r>
      <w:r>
        <w:rPr>
          <w:sz w:val="24"/>
        </w:rPr>
        <w:t>per</w:t>
      </w:r>
      <w:r>
        <w:rPr>
          <w:spacing w:val="-14"/>
          <w:sz w:val="24"/>
        </w:rPr>
        <w:t xml:space="preserve"> </w:t>
      </w:r>
      <w:r>
        <w:rPr>
          <w:sz w:val="24"/>
        </w:rPr>
        <w:t>§25.182</w:t>
      </w:r>
      <w:r>
        <w:rPr>
          <w:spacing w:val="-13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PY2024,</w:t>
      </w:r>
      <w:r>
        <w:rPr>
          <w:spacing w:val="-13"/>
          <w:sz w:val="24"/>
        </w:rPr>
        <w:t xml:space="preserve"> </w:t>
      </w:r>
      <w:r>
        <w:rPr>
          <w:sz w:val="24"/>
        </w:rPr>
        <w:t>Staff</w:t>
      </w:r>
      <w:r>
        <w:rPr>
          <w:spacing w:val="-14"/>
          <w:sz w:val="24"/>
        </w:rPr>
        <w:t xml:space="preserve"> </w:t>
      </w:r>
      <w:r>
        <w:rPr>
          <w:sz w:val="24"/>
        </w:rPr>
        <w:t>proposes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secondary cap</w:t>
      </w:r>
      <w:r>
        <w:rPr>
          <w:spacing w:val="-2"/>
          <w:sz w:val="24"/>
        </w:rPr>
        <w:t xml:space="preserve"> </w:t>
      </w:r>
      <w:r>
        <w:rPr>
          <w:sz w:val="24"/>
        </w:rPr>
        <w:t>on the</w:t>
      </w:r>
      <w:r>
        <w:rPr>
          <w:spacing w:val="-3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4"/>
          <w:sz w:val="24"/>
        </w:rPr>
        <w:t xml:space="preserve"> </w:t>
      </w:r>
      <w:r>
        <w:rPr>
          <w:sz w:val="24"/>
        </w:rPr>
        <w:t>bonus</w:t>
      </w:r>
      <w:r>
        <w:rPr>
          <w:spacing w:val="-2"/>
          <w:sz w:val="24"/>
        </w:rPr>
        <w:t xml:space="preserve"> </w:t>
      </w:r>
      <w:r>
        <w:rPr>
          <w:sz w:val="24"/>
        </w:rPr>
        <w:t>calculated</w:t>
      </w:r>
      <w:r>
        <w:rPr>
          <w:spacing w:val="-2"/>
          <w:sz w:val="24"/>
        </w:rPr>
        <w:t xml:space="preserve"> </w:t>
      </w:r>
      <w:r>
        <w:rPr>
          <w:sz w:val="24"/>
        </w:rPr>
        <w:t>(by the</w:t>
      </w:r>
      <w:r>
        <w:rPr>
          <w:spacing w:val="-1"/>
          <w:sz w:val="24"/>
        </w:rPr>
        <w:t xml:space="preserve"> </w:t>
      </w:r>
      <w:r>
        <w:rPr>
          <w:sz w:val="24"/>
        </w:rPr>
        <w:t>utility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PY2024)</w:t>
      </w:r>
      <w:r>
        <w:rPr>
          <w:spacing w:val="-2"/>
          <w:sz w:val="24"/>
        </w:rPr>
        <w:t xml:space="preserve"> </w:t>
      </w:r>
      <w:r>
        <w:rPr>
          <w:sz w:val="24"/>
        </w:rPr>
        <w:t>equivalent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25%</w:t>
      </w:r>
      <w:r>
        <w:rPr>
          <w:spacing w:val="-1"/>
          <w:sz w:val="24"/>
        </w:rPr>
        <w:t xml:space="preserve"> </w:t>
      </w:r>
      <w:r>
        <w:rPr>
          <w:sz w:val="24"/>
        </w:rPr>
        <w:t>of the utility overall spend.</w:t>
      </w:r>
    </w:p>
    <w:p w14:paraId="3B19CB0C" w14:textId="77777777" w:rsidR="00BE30E1" w:rsidRDefault="00BE30E1">
      <w:pPr>
        <w:pStyle w:val="BodyText"/>
        <w:spacing w:before="138"/>
        <w:jc w:val="left"/>
      </w:pPr>
    </w:p>
    <w:p w14:paraId="678F6A24" w14:textId="77777777" w:rsidR="00BE30E1" w:rsidRDefault="001E5B43">
      <w:pPr>
        <w:pStyle w:val="Heading1"/>
        <w:rPr>
          <w:u w:val="none"/>
        </w:rPr>
      </w:pPr>
      <w:r>
        <w:rPr>
          <w:spacing w:val="-2"/>
        </w:rPr>
        <w:t>Reasoning:</w:t>
      </w:r>
    </w:p>
    <w:p w14:paraId="03E7DEAB" w14:textId="3685EE4B" w:rsidR="00BE30E1" w:rsidRDefault="001E5B43">
      <w:pPr>
        <w:pStyle w:val="BodyText"/>
        <w:spacing w:line="360" w:lineRule="auto"/>
        <w:ind w:left="100" w:right="117"/>
      </w:pPr>
      <w:r>
        <w:t>The</w:t>
      </w:r>
      <w:r>
        <w:rPr>
          <w:spacing w:val="-11"/>
        </w:rPr>
        <w:t xml:space="preserve"> </w:t>
      </w:r>
      <w:r>
        <w:t>secondary</w:t>
      </w:r>
      <w:r>
        <w:rPr>
          <w:spacing w:val="-8"/>
        </w:rPr>
        <w:t xml:space="preserve"> </w:t>
      </w:r>
      <w:r>
        <w:t>cap</w:t>
      </w:r>
      <w:r>
        <w:rPr>
          <w:spacing w:val="-8"/>
        </w:rPr>
        <w:t xml:space="preserve"> </w:t>
      </w:r>
      <w:r>
        <w:t>limits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performance</w:t>
      </w:r>
      <w:r>
        <w:rPr>
          <w:spacing w:val="-11"/>
        </w:rPr>
        <w:t xml:space="preserve"> </w:t>
      </w:r>
      <w:r>
        <w:t>bonus</w:t>
      </w:r>
      <w:r>
        <w:rPr>
          <w:spacing w:val="-8"/>
        </w:rPr>
        <w:t xml:space="preserve"> </w:t>
      </w:r>
      <w:r w:rsidR="00C10466">
        <w:t xml:space="preserve">for the </w:t>
      </w:r>
      <w:r w:rsidR="00CE00A2">
        <w:t xml:space="preserve">electric </w:t>
      </w:r>
      <w:r w:rsidR="00936076">
        <w:t xml:space="preserve">utility </w:t>
      </w:r>
      <w:r w:rsidR="00C10466">
        <w:t>for PY2024</w:t>
      </w:r>
      <w:r w:rsidR="00C10466">
        <w:rPr>
          <w:spacing w:val="-10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allows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 w:rsidR="00CE00A2">
        <w:rPr>
          <w:spacing w:val="-8"/>
        </w:rPr>
        <w:t xml:space="preserve">electric </w:t>
      </w:r>
      <w:r>
        <w:t>utilities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stay</w:t>
      </w:r>
      <w:r>
        <w:rPr>
          <w:spacing w:val="-10"/>
        </w:rPr>
        <w:t xml:space="preserve"> </w:t>
      </w:r>
      <w:r>
        <w:t>within</w:t>
      </w:r>
      <w:r>
        <w:rPr>
          <w:spacing w:val="-10"/>
        </w:rPr>
        <w:t xml:space="preserve"> </w:t>
      </w:r>
      <w:r>
        <w:t xml:space="preserve">their program cost caps in future years. </w:t>
      </w:r>
      <w:r w:rsidR="002E5EF2">
        <w:t>If an energy efficiency program is deemed not cost-effective, it could result in the termination of the program and this would be unfair to judge the effectiveness of an energy efficiency program based on external factors.</w:t>
      </w:r>
      <w:r w:rsidR="002E5EF2">
        <w:rPr>
          <w:rStyle w:val="FootnoteReference"/>
        </w:rPr>
        <w:footnoteReference w:id="2"/>
      </w:r>
      <w:r w:rsidR="002E5EF2">
        <w:t xml:space="preserve">  Capping the performance bonus might help the utilities to avoid having to request good cause exceptions</w:t>
      </w:r>
      <w:r w:rsidR="004716E0">
        <w:t>, because the cost-effectiveness of an energy efficiency program for a given year treats the performance bonus from prior years as an expense</w:t>
      </w:r>
      <w:r w:rsidR="00491A5E">
        <w:t>.</w:t>
      </w:r>
      <w:r w:rsidR="004716E0">
        <w:t xml:space="preserve"> </w:t>
      </w:r>
      <w:r w:rsidR="00491A5E">
        <w:t>A</w:t>
      </w:r>
      <w:r w:rsidR="004716E0">
        <w:t xml:space="preserve"> cap on the performance bonus in a given program year </w:t>
      </w:r>
      <w:r w:rsidR="00491A5E">
        <w:t>should</w:t>
      </w:r>
      <w:r w:rsidR="004716E0">
        <w:t xml:space="preserve"> help the cost-effectiveness of </w:t>
      </w:r>
      <w:r w:rsidR="003D50B4">
        <w:t>the programs</w:t>
      </w:r>
      <w:r w:rsidR="004716E0">
        <w:t xml:space="preserve"> in subsequent program </w:t>
      </w:r>
      <w:r w:rsidR="003D50B4">
        <w:t>years.</w:t>
      </w:r>
      <w:r w:rsidR="002E5EF2">
        <w:t xml:space="preserve"> </w:t>
      </w:r>
      <w:r>
        <w:t xml:space="preserve">In the past, </w:t>
      </w:r>
      <w:r w:rsidR="00D815CC">
        <w:t>electric</w:t>
      </w:r>
      <w:r>
        <w:t xml:space="preserve"> utilities have </w:t>
      </w:r>
      <w:r w:rsidR="00C10466">
        <w:t xml:space="preserve">requested </w:t>
      </w:r>
      <w:r>
        <w:t xml:space="preserve">good cause exceptions to their cost caps in order not to </w:t>
      </w:r>
      <w:r w:rsidR="003A6946">
        <w:t>collect a prior year’s</w:t>
      </w:r>
      <w:r w:rsidR="006A098A">
        <w:t xml:space="preserve"> performance bonus without</w:t>
      </w:r>
      <w:r w:rsidR="003A6946">
        <w:t xml:space="preserve"> reducing program spending</w:t>
      </w:r>
      <w:r>
        <w:t>.</w:t>
      </w:r>
      <w:r w:rsidRPr="003A6946">
        <w:t xml:space="preserve"> </w:t>
      </w:r>
      <w:r w:rsidR="003A6946">
        <w:t xml:space="preserve"> If granted, this </w:t>
      </w:r>
      <w:r>
        <w:t>type of good cause exception typically</w:t>
      </w:r>
      <w:r>
        <w:rPr>
          <w:spacing w:val="-3"/>
        </w:rPr>
        <w:t xml:space="preserve"> </w:t>
      </w:r>
      <w:r>
        <w:t>includes</w:t>
      </w:r>
      <w:r>
        <w:rPr>
          <w:spacing w:val="-3"/>
        </w:rPr>
        <w:t xml:space="preserve"> </w:t>
      </w:r>
      <w:r>
        <w:t>modifications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bonus</w:t>
      </w:r>
      <w:r>
        <w:rPr>
          <w:spacing w:val="-3"/>
        </w:rPr>
        <w:t xml:space="preserve"> </w:t>
      </w:r>
      <w:r>
        <w:t>calculations</w:t>
      </w:r>
      <w:r w:rsidR="003A6946">
        <w:t xml:space="preserve"> for that program year</w:t>
      </w:r>
      <w:r>
        <w:t>.</w:t>
      </w:r>
      <w:r>
        <w:rPr>
          <w:spacing w:val="40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cap</w:t>
      </w:r>
      <w:r>
        <w:rPr>
          <w:spacing w:val="-3"/>
        </w:rPr>
        <w:t xml:space="preserve"> </w:t>
      </w:r>
      <w:r w:rsidR="000F2605">
        <w:t>could</w:t>
      </w:r>
      <w:r>
        <w:rPr>
          <w:spacing w:val="-3"/>
        </w:rPr>
        <w:t xml:space="preserve"> </w:t>
      </w:r>
      <w:r>
        <w:t xml:space="preserve">avoid the need for processing good cause exceptions in each Energy Efficiency Cost Recovery Factor </w:t>
      </w:r>
      <w:r>
        <w:rPr>
          <w:spacing w:val="-2"/>
        </w:rPr>
        <w:t>proceeding.</w:t>
      </w:r>
    </w:p>
    <w:sectPr w:rsidR="00BE30E1">
      <w:footerReference w:type="default" r:id="rId7"/>
      <w:pgSz w:w="12240" w:h="15840"/>
      <w:pgMar w:top="1360" w:right="1320" w:bottom="1160" w:left="134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22044" w14:textId="77777777" w:rsidR="009D1A09" w:rsidRDefault="009D1A09">
      <w:r>
        <w:separator/>
      </w:r>
    </w:p>
  </w:endnote>
  <w:endnote w:type="continuationSeparator" w:id="0">
    <w:p w14:paraId="4DA43147" w14:textId="77777777" w:rsidR="009D1A09" w:rsidRDefault="009D1A09">
      <w:r>
        <w:continuationSeparator/>
      </w:r>
    </w:p>
  </w:endnote>
  <w:endnote w:type="continuationNotice" w:id="1">
    <w:p w14:paraId="2C2D9C35" w14:textId="77777777" w:rsidR="00573838" w:rsidRDefault="0057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43E6" w14:textId="77777777" w:rsidR="00BE30E1" w:rsidRDefault="001E5B43">
    <w:pPr>
      <w:pStyle w:val="BodyText"/>
      <w:spacing w:before="0" w:line="14" w:lineRule="auto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F1DF13E" wp14:editId="3ABCD6D4">
              <wp:simplePos x="0" y="0"/>
              <wp:positionH relativeFrom="page">
                <wp:posOffset>3585464</wp:posOffset>
              </wp:positionH>
              <wp:positionV relativeFrom="page">
                <wp:posOffset>9302174</wp:posOffset>
              </wp:positionV>
              <wp:extent cx="6007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8A4DDE" w14:textId="77777777" w:rsidR="00BE30E1" w:rsidRDefault="001E5B43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DF13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2.3pt;margin-top:732.45pt;width:47.3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" filled="f" stroked="f">
              <v:textbox inset="0,0,0,0">
                <w:txbxContent>
                  <w:p w14:paraId="798A4DDE" w14:textId="77777777" w:rsidR="00BE30E1" w:rsidRDefault="001E5B43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C1E30" w14:textId="77777777" w:rsidR="009D1A09" w:rsidRDefault="009D1A09">
      <w:r>
        <w:separator/>
      </w:r>
    </w:p>
  </w:footnote>
  <w:footnote w:type="continuationSeparator" w:id="0">
    <w:p w14:paraId="5E703546" w14:textId="77777777" w:rsidR="009D1A09" w:rsidRDefault="009D1A09">
      <w:r>
        <w:continuationSeparator/>
      </w:r>
    </w:p>
  </w:footnote>
  <w:footnote w:type="continuationNotice" w:id="1">
    <w:p w14:paraId="71E45EAB" w14:textId="77777777" w:rsidR="00573838" w:rsidRDefault="00573838"/>
  </w:footnote>
  <w:footnote w:id="2">
    <w:p w14:paraId="1C28EB5A" w14:textId="77777777" w:rsidR="002E5EF2" w:rsidRDefault="002E5EF2" w:rsidP="002E5EF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429E3">
        <w:rPr>
          <w:i/>
          <w:iCs/>
        </w:rPr>
        <w:t>See</w:t>
      </w:r>
      <w:r>
        <w:t xml:space="preserve"> Public Utility Regulatory Act (PURA) § 39.905.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F4CF7"/>
    <w:multiLevelType w:val="hybridMultilevel"/>
    <w:tmpl w:val="D1CE7EC6"/>
    <w:lvl w:ilvl="0" w:tplc="0FD228FA">
      <w:start w:val="1"/>
      <w:numFmt w:val="lowerLetter"/>
      <w:lvlText w:val="%1)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C1CD86E">
      <w:start w:val="1"/>
      <w:numFmt w:val="lowerLetter"/>
      <w:lvlText w:val="%2."/>
      <w:lvlJc w:val="left"/>
      <w:pPr>
        <w:ind w:left="1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6DD8949E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3" w:tplc="0268946E">
      <w:numFmt w:val="bullet"/>
      <w:lvlText w:val="•"/>
      <w:lvlJc w:val="left"/>
      <w:pPr>
        <w:ind w:left="3326" w:hanging="360"/>
      </w:pPr>
      <w:rPr>
        <w:rFonts w:hint="default"/>
        <w:lang w:val="en-US" w:eastAsia="en-US" w:bidi="ar-SA"/>
      </w:rPr>
    </w:lvl>
    <w:lvl w:ilvl="4" w:tplc="ADFE5CDA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5" w:tplc="86C4A9F0">
      <w:numFmt w:val="bullet"/>
      <w:lvlText w:val="•"/>
      <w:lvlJc w:val="left"/>
      <w:pPr>
        <w:ind w:left="5113" w:hanging="360"/>
      </w:pPr>
      <w:rPr>
        <w:rFonts w:hint="default"/>
        <w:lang w:val="en-US" w:eastAsia="en-US" w:bidi="ar-SA"/>
      </w:rPr>
    </w:lvl>
    <w:lvl w:ilvl="6" w:tplc="D5FCBF7C">
      <w:numFmt w:val="bullet"/>
      <w:lvlText w:val="•"/>
      <w:lvlJc w:val="left"/>
      <w:pPr>
        <w:ind w:left="6006" w:hanging="360"/>
      </w:pPr>
      <w:rPr>
        <w:rFonts w:hint="default"/>
        <w:lang w:val="en-US" w:eastAsia="en-US" w:bidi="ar-SA"/>
      </w:rPr>
    </w:lvl>
    <w:lvl w:ilvl="7" w:tplc="95544D24"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ar-SA"/>
      </w:rPr>
    </w:lvl>
    <w:lvl w:ilvl="8" w:tplc="CD3C300C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 w16cid:durableId="41551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0E1"/>
    <w:rsid w:val="00003787"/>
    <w:rsid w:val="00006341"/>
    <w:rsid w:val="00006973"/>
    <w:rsid w:val="000324C7"/>
    <w:rsid w:val="000341FA"/>
    <w:rsid w:val="00061D80"/>
    <w:rsid w:val="00073CF0"/>
    <w:rsid w:val="00076E9A"/>
    <w:rsid w:val="00095ED1"/>
    <w:rsid w:val="000B7E09"/>
    <w:rsid w:val="000F2605"/>
    <w:rsid w:val="00122A91"/>
    <w:rsid w:val="00150305"/>
    <w:rsid w:val="001C0C45"/>
    <w:rsid w:val="001D23DF"/>
    <w:rsid w:val="001D254B"/>
    <w:rsid w:val="001D644E"/>
    <w:rsid w:val="001E5B43"/>
    <w:rsid w:val="001E5D91"/>
    <w:rsid w:val="00231A09"/>
    <w:rsid w:val="002651EC"/>
    <w:rsid w:val="00273249"/>
    <w:rsid w:val="002E5EF2"/>
    <w:rsid w:val="00311CE2"/>
    <w:rsid w:val="003279F4"/>
    <w:rsid w:val="00367E7B"/>
    <w:rsid w:val="00377096"/>
    <w:rsid w:val="003A6946"/>
    <w:rsid w:val="003D50B4"/>
    <w:rsid w:val="00403936"/>
    <w:rsid w:val="004162E5"/>
    <w:rsid w:val="0044042C"/>
    <w:rsid w:val="004512E1"/>
    <w:rsid w:val="004716E0"/>
    <w:rsid w:val="004832AE"/>
    <w:rsid w:val="00491A5E"/>
    <w:rsid w:val="004C48A6"/>
    <w:rsid w:val="00573838"/>
    <w:rsid w:val="0058407E"/>
    <w:rsid w:val="005C4508"/>
    <w:rsid w:val="005E0E70"/>
    <w:rsid w:val="006277FF"/>
    <w:rsid w:val="006349CF"/>
    <w:rsid w:val="006725BA"/>
    <w:rsid w:val="00687558"/>
    <w:rsid w:val="006A098A"/>
    <w:rsid w:val="006E31B9"/>
    <w:rsid w:val="007212E0"/>
    <w:rsid w:val="0076238D"/>
    <w:rsid w:val="007B714C"/>
    <w:rsid w:val="007D5290"/>
    <w:rsid w:val="007F382F"/>
    <w:rsid w:val="008529AD"/>
    <w:rsid w:val="00852B93"/>
    <w:rsid w:val="00884076"/>
    <w:rsid w:val="008D0E12"/>
    <w:rsid w:val="008E7700"/>
    <w:rsid w:val="00936076"/>
    <w:rsid w:val="0095500F"/>
    <w:rsid w:val="009A1697"/>
    <w:rsid w:val="009D1A09"/>
    <w:rsid w:val="009F49A7"/>
    <w:rsid w:val="00A029AC"/>
    <w:rsid w:val="00A27045"/>
    <w:rsid w:val="00AA1222"/>
    <w:rsid w:val="00BE2EA8"/>
    <w:rsid w:val="00BE30E1"/>
    <w:rsid w:val="00BF3CB5"/>
    <w:rsid w:val="00C10466"/>
    <w:rsid w:val="00C76F1D"/>
    <w:rsid w:val="00CC6CE4"/>
    <w:rsid w:val="00CE00A2"/>
    <w:rsid w:val="00CE35A8"/>
    <w:rsid w:val="00CE7BD7"/>
    <w:rsid w:val="00D61BE8"/>
    <w:rsid w:val="00D6710E"/>
    <w:rsid w:val="00D815CC"/>
    <w:rsid w:val="00D953F3"/>
    <w:rsid w:val="00E661FB"/>
    <w:rsid w:val="00EB4C25"/>
    <w:rsid w:val="00F16552"/>
    <w:rsid w:val="00FB3A8C"/>
    <w:rsid w:val="00FB58C5"/>
    <w:rsid w:val="00FB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6AC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37"/>
      <w:jc w:val="both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328"/>
      <w:ind w:right="21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37"/>
      <w:ind w:left="153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FB3A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3A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3A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A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A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77096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2E5EF2"/>
    <w:pPr>
      <w:widowControl/>
      <w:autoSpaceDE/>
      <w:autoSpaceDN/>
      <w:spacing w:after="120"/>
      <w:ind w:firstLine="72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E5EF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E5EF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B4C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4C2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B4C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4C25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unhideWhenUsed/>
    <w:rsid w:val="00095ED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95E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2024-10-03T20:57:00Z</dcterms:created>
  <dcterms:modified xsi:type="dcterms:W3CDTF">2024-10-03T20:58:00Z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